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91F24C" w14:textId="1FE4C23B" w:rsidR="00C6176A" w:rsidRPr="004E4615" w:rsidRDefault="00C6176A" w:rsidP="00FA11C2">
      <w:pPr>
        <w:spacing w:line="276" w:lineRule="auto"/>
        <w:ind w:right="-425"/>
        <w:rPr>
          <w:rFonts w:ascii="Arial" w:hAnsi="Arial" w:cs="Arial"/>
        </w:rPr>
      </w:pPr>
      <w:r w:rsidRPr="004E4615">
        <w:rPr>
          <w:rFonts w:ascii="Arial" w:hAnsi="Arial" w:cs="Arial"/>
          <w:noProof/>
          <w:lang w:eastAsia="de-DE"/>
        </w:rPr>
        <w:drawing>
          <wp:anchor distT="0" distB="0" distL="114300" distR="114300" simplePos="0" relativeHeight="251655168" behindDoc="0" locked="0" layoutInCell="1" allowOverlap="1" wp14:anchorId="7EADACF3" wp14:editId="3D857544">
            <wp:simplePos x="0" y="0"/>
            <wp:positionH relativeFrom="page">
              <wp:align>center</wp:align>
            </wp:positionH>
            <wp:positionV relativeFrom="topMargin">
              <wp:align>bottom</wp:align>
            </wp:positionV>
            <wp:extent cx="6614160" cy="59055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ensor-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614160" cy="590550"/>
                    </a:xfrm>
                    <a:prstGeom prst="rect">
                      <a:avLst/>
                    </a:prstGeom>
                  </pic:spPr>
                </pic:pic>
              </a:graphicData>
            </a:graphic>
          </wp:anchor>
        </w:drawing>
      </w:r>
    </w:p>
    <w:p w14:paraId="37092C18" w14:textId="2C6AAF1B" w:rsidR="00C6176A" w:rsidRPr="004E4615" w:rsidRDefault="00C6176A" w:rsidP="004E4615">
      <w:pPr>
        <w:spacing w:line="276" w:lineRule="auto"/>
        <w:rPr>
          <w:rFonts w:ascii="Arial" w:hAnsi="Arial" w:cs="Arial"/>
        </w:rPr>
      </w:pPr>
      <w:bookmarkStart w:id="0" w:name="_Hlk85747553"/>
    </w:p>
    <w:p w14:paraId="75ED706E" w14:textId="6EAE41E3" w:rsidR="00C6176A" w:rsidRPr="009126D3" w:rsidRDefault="00C6176A" w:rsidP="004E4615">
      <w:pPr>
        <w:spacing w:line="276" w:lineRule="auto"/>
        <w:rPr>
          <w:rFonts w:ascii="Arial" w:hAnsi="Arial" w:cs="Arial"/>
          <w:b/>
          <w:sz w:val="24"/>
          <w:szCs w:val="24"/>
          <w:lang w:val="en-US"/>
        </w:rPr>
      </w:pPr>
      <w:r w:rsidRPr="009126D3">
        <w:rPr>
          <w:rFonts w:ascii="Arial" w:hAnsi="Arial" w:cs="Arial"/>
          <w:b/>
          <w:sz w:val="24"/>
          <w:szCs w:val="24"/>
          <w:lang w:val="en-US"/>
        </w:rPr>
        <w:t>Presse</w:t>
      </w:r>
      <w:r w:rsidR="009126D3">
        <w:rPr>
          <w:rFonts w:ascii="Arial" w:hAnsi="Arial" w:cs="Arial"/>
          <w:b/>
          <w:sz w:val="24"/>
          <w:szCs w:val="24"/>
          <w:lang w:val="en-US"/>
        </w:rPr>
        <w:t xml:space="preserve"> Release</w:t>
      </w:r>
      <w:r w:rsidRPr="009126D3">
        <w:rPr>
          <w:rFonts w:ascii="Arial" w:hAnsi="Arial" w:cs="Arial"/>
          <w:b/>
          <w:sz w:val="24"/>
          <w:szCs w:val="24"/>
          <w:lang w:val="en-US"/>
        </w:rPr>
        <w:t xml:space="preserve"> Sensor Instruments</w:t>
      </w:r>
    </w:p>
    <w:p w14:paraId="30FF1264" w14:textId="4537ADC7" w:rsidR="00C6176A" w:rsidRPr="009126D3" w:rsidRDefault="00650336" w:rsidP="004E4615">
      <w:pPr>
        <w:pBdr>
          <w:bottom w:val="single" w:sz="6" w:space="1" w:color="auto"/>
        </w:pBdr>
        <w:spacing w:line="276" w:lineRule="auto"/>
        <w:rPr>
          <w:rFonts w:ascii="Arial" w:hAnsi="Arial" w:cs="Arial"/>
          <w:lang w:val="en-US"/>
        </w:rPr>
      </w:pPr>
      <w:r>
        <w:rPr>
          <w:rFonts w:ascii="Arial" w:hAnsi="Arial" w:cs="Arial"/>
          <w:lang w:val="en-US"/>
        </w:rPr>
        <w:t>August</w:t>
      </w:r>
      <w:r w:rsidR="0005107E" w:rsidRPr="009126D3">
        <w:rPr>
          <w:rFonts w:ascii="Arial" w:hAnsi="Arial" w:cs="Arial"/>
          <w:lang w:val="en-US"/>
        </w:rPr>
        <w:t xml:space="preserve"> </w:t>
      </w:r>
      <w:r w:rsidR="00EA3D9D" w:rsidRPr="009126D3">
        <w:rPr>
          <w:rFonts w:ascii="Arial" w:hAnsi="Arial" w:cs="Arial"/>
          <w:lang w:val="en-US"/>
        </w:rPr>
        <w:t>202</w:t>
      </w:r>
      <w:r w:rsidR="00A5639E" w:rsidRPr="009126D3">
        <w:rPr>
          <w:rFonts w:ascii="Arial" w:hAnsi="Arial" w:cs="Arial"/>
          <w:lang w:val="en-US"/>
        </w:rPr>
        <w:t>4</w:t>
      </w:r>
    </w:p>
    <w:p w14:paraId="4471457E" w14:textId="77777777" w:rsidR="00C6176A" w:rsidRPr="009126D3" w:rsidRDefault="00C6176A" w:rsidP="004E4615">
      <w:pPr>
        <w:spacing w:line="276" w:lineRule="auto"/>
        <w:rPr>
          <w:rFonts w:ascii="Arial" w:hAnsi="Arial" w:cs="Arial"/>
          <w:lang w:val="en-US"/>
        </w:rPr>
      </w:pPr>
    </w:p>
    <w:p w14:paraId="4883D155" w14:textId="294C36CA" w:rsidR="00457CED" w:rsidRPr="009126D3" w:rsidRDefault="00FE0771" w:rsidP="00457CED">
      <w:pPr>
        <w:rPr>
          <w:b/>
          <w:sz w:val="28"/>
          <w:szCs w:val="28"/>
          <w:lang w:val="en-US"/>
        </w:rPr>
      </w:pPr>
      <w:r w:rsidRPr="00FE0771">
        <w:rPr>
          <w:b/>
          <w:sz w:val="28"/>
          <w:szCs w:val="28"/>
          <w:lang w:val="en-US"/>
        </w:rPr>
        <w:t xml:space="preserve">Differentiation of </w:t>
      </w:r>
      <w:proofErr w:type="spellStart"/>
      <w:r w:rsidRPr="00FE0771">
        <w:rPr>
          <w:b/>
          <w:sz w:val="28"/>
          <w:szCs w:val="28"/>
          <w:lang w:val="en-US"/>
        </w:rPr>
        <w:t>recyclate</w:t>
      </w:r>
      <w:proofErr w:type="spellEnd"/>
      <w:r w:rsidRPr="00FE0771">
        <w:rPr>
          <w:b/>
          <w:sz w:val="28"/>
          <w:szCs w:val="28"/>
          <w:lang w:val="en-US"/>
        </w:rPr>
        <w:t xml:space="preserve"> types using NIR during the recycling proces</w:t>
      </w:r>
      <w:r>
        <w:rPr>
          <w:b/>
          <w:sz w:val="28"/>
          <w:szCs w:val="28"/>
          <w:lang w:val="en-US"/>
        </w:rPr>
        <w:t>s</w:t>
      </w:r>
    </w:p>
    <w:p w14:paraId="78E2988B" w14:textId="6B6EF918" w:rsidR="00913361" w:rsidRPr="009126D3" w:rsidRDefault="004449DD" w:rsidP="00913361">
      <w:pPr>
        <w:rPr>
          <w:color w:val="0070C0"/>
          <w:lang w:val="en-US"/>
        </w:rPr>
      </w:pPr>
      <w:r w:rsidRPr="004449DD">
        <w:rPr>
          <w:color w:val="0070C0"/>
          <w:lang w:val="en-US"/>
        </w:rPr>
        <w:t>Plastic type differ</w:t>
      </w:r>
      <w:r w:rsidR="00FE0771">
        <w:rPr>
          <w:color w:val="0070C0"/>
          <w:lang w:val="en-US"/>
        </w:rPr>
        <w:t>en</w:t>
      </w:r>
      <w:r w:rsidRPr="004449DD">
        <w:rPr>
          <w:color w:val="0070C0"/>
          <w:lang w:val="en-US"/>
        </w:rPr>
        <w:t xml:space="preserve">tiation of </w:t>
      </w:r>
      <w:proofErr w:type="spellStart"/>
      <w:r w:rsidRPr="004449DD">
        <w:rPr>
          <w:color w:val="0070C0"/>
          <w:lang w:val="en-US"/>
        </w:rPr>
        <w:t>recyclates</w:t>
      </w:r>
      <w:proofErr w:type="spellEnd"/>
      <w:r w:rsidRPr="004449DD">
        <w:rPr>
          <w:color w:val="0070C0"/>
          <w:lang w:val="en-US"/>
        </w:rPr>
        <w:t xml:space="preserve"> using NIR</w:t>
      </w:r>
    </w:p>
    <w:p w14:paraId="3CA4017F" w14:textId="77777777" w:rsidR="00913361" w:rsidRPr="009126D3" w:rsidRDefault="00913361" w:rsidP="00457CED">
      <w:pPr>
        <w:rPr>
          <w:lang w:val="en-US"/>
        </w:rPr>
      </w:pPr>
    </w:p>
    <w:bookmarkEnd w:id="0"/>
    <w:p w14:paraId="5B0EA6A3" w14:textId="6F54EA53" w:rsidR="00B85773" w:rsidRPr="00495A30" w:rsidRDefault="00B85773" w:rsidP="00B85773">
      <w:pPr>
        <w:rPr>
          <w:b/>
          <w:lang w:val="en-US"/>
        </w:rPr>
      </w:pPr>
      <w:r w:rsidRPr="00495A30">
        <w:rPr>
          <w:b/>
          <w:lang w:val="en-US"/>
        </w:rPr>
        <w:t>0</w:t>
      </w:r>
      <w:r w:rsidR="00650336">
        <w:rPr>
          <w:b/>
          <w:lang w:val="en-US"/>
        </w:rPr>
        <w:t>8</w:t>
      </w:r>
      <w:r w:rsidR="009126D3" w:rsidRPr="00495A30">
        <w:rPr>
          <w:b/>
          <w:lang w:val="en-US"/>
        </w:rPr>
        <w:t>/2</w:t>
      </w:r>
      <w:r w:rsidR="00650336">
        <w:rPr>
          <w:b/>
          <w:lang w:val="en-US"/>
        </w:rPr>
        <w:t>6</w:t>
      </w:r>
      <w:r w:rsidR="009126D3" w:rsidRPr="00495A30">
        <w:rPr>
          <w:b/>
          <w:lang w:val="en-US"/>
        </w:rPr>
        <w:t>/</w:t>
      </w:r>
      <w:r w:rsidRPr="00495A30">
        <w:rPr>
          <w:b/>
          <w:lang w:val="en-US"/>
        </w:rPr>
        <w:t>202</w:t>
      </w:r>
      <w:r w:rsidR="00A5639E" w:rsidRPr="00495A30">
        <w:rPr>
          <w:b/>
          <w:lang w:val="en-US"/>
        </w:rPr>
        <w:t>4</w:t>
      </w:r>
      <w:r w:rsidRPr="00495A30">
        <w:rPr>
          <w:b/>
          <w:lang w:val="en-US"/>
        </w:rPr>
        <w:t>. Sensor Instruments GmbH:</w:t>
      </w:r>
    </w:p>
    <w:p w14:paraId="46A70734" w14:textId="638B72C1" w:rsidR="00FE0771" w:rsidRDefault="00FE0771" w:rsidP="00FE0771">
      <w:pPr>
        <w:rPr>
          <w:lang w:val="en-US"/>
        </w:rPr>
      </w:pPr>
      <w:r>
        <w:rPr>
          <w:noProof/>
          <w:lang w:val="en-US"/>
        </w:rPr>
        <w:drawing>
          <wp:anchor distT="0" distB="0" distL="114300" distR="114300" simplePos="0" relativeHeight="251658240" behindDoc="1" locked="0" layoutInCell="1" allowOverlap="1" wp14:anchorId="7E71D5B3" wp14:editId="2EAAAD67">
            <wp:simplePos x="0" y="0"/>
            <wp:positionH relativeFrom="margin">
              <wp:align>right</wp:align>
            </wp:positionH>
            <wp:positionV relativeFrom="paragraph">
              <wp:posOffset>576580</wp:posOffset>
            </wp:positionV>
            <wp:extent cx="3005455" cy="1987550"/>
            <wp:effectExtent l="0" t="0" r="4445" b="0"/>
            <wp:wrapTight wrapText="bothSides">
              <wp:wrapPolygon edited="0">
                <wp:start x="0" y="0"/>
                <wp:lineTo x="0" y="21324"/>
                <wp:lineTo x="21495" y="21324"/>
                <wp:lineTo x="21495" y="0"/>
                <wp:lineTo x="0" y="0"/>
              </wp:wrapPolygon>
            </wp:wrapTight>
            <wp:docPr id="9172894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05455" cy="1987550"/>
                    </a:xfrm>
                    <a:prstGeom prst="rect">
                      <a:avLst/>
                    </a:prstGeom>
                    <a:noFill/>
                  </pic:spPr>
                </pic:pic>
              </a:graphicData>
            </a:graphic>
          </wp:anchor>
        </w:drawing>
      </w:r>
      <w:r w:rsidRPr="00FE0771">
        <w:rPr>
          <w:lang w:val="en-US"/>
        </w:rPr>
        <w:t xml:space="preserve">The use of more and more </w:t>
      </w:r>
      <w:proofErr w:type="spellStart"/>
      <w:r w:rsidRPr="00FE0771">
        <w:rPr>
          <w:lang w:val="en-US"/>
        </w:rPr>
        <w:t>recyclates</w:t>
      </w:r>
      <w:proofErr w:type="spellEnd"/>
      <w:r w:rsidRPr="00FE0771">
        <w:rPr>
          <w:lang w:val="en-US"/>
        </w:rPr>
        <w:t xml:space="preserve"> in the plastic processing industry, driven not least by the EU Packaging and Packaging Waste Regulation (PPWR) </w:t>
      </w:r>
      <w:proofErr w:type="gramStart"/>
      <w:r w:rsidRPr="00FE0771">
        <w:rPr>
          <w:lang w:val="en-US"/>
        </w:rPr>
        <w:t>with regard to</w:t>
      </w:r>
      <w:proofErr w:type="gramEnd"/>
      <w:r w:rsidRPr="00FE0771">
        <w:rPr>
          <w:lang w:val="en-US"/>
        </w:rPr>
        <w:t xml:space="preserve"> the proportion of </w:t>
      </w:r>
      <w:proofErr w:type="spellStart"/>
      <w:r w:rsidRPr="00FE0771">
        <w:rPr>
          <w:lang w:val="en-US"/>
        </w:rPr>
        <w:t>recyclates</w:t>
      </w:r>
      <w:proofErr w:type="spellEnd"/>
      <w:r w:rsidRPr="00FE0771">
        <w:rPr>
          <w:lang w:val="en-US"/>
        </w:rPr>
        <w:t xml:space="preserve"> in plastics, also increases the need to carry out a check according to the type of plastic of the respective </w:t>
      </w:r>
      <w:proofErr w:type="spellStart"/>
      <w:r w:rsidRPr="00FE0771">
        <w:rPr>
          <w:lang w:val="en-US"/>
        </w:rPr>
        <w:t>recyclate</w:t>
      </w:r>
      <w:proofErr w:type="spellEnd"/>
      <w:r w:rsidRPr="00FE0771">
        <w:rPr>
          <w:lang w:val="en-US"/>
        </w:rPr>
        <w:t xml:space="preserve"> in addition to the color check already carried out in the laboratory. There is no lack of adequate sensor technology during the sorting and separating process, as various machine builders offer sorting systems equipped with so-called hyperspectral cameras suitable for the NIR range. These are suitable for sorting whole objects as well as for separating plastic fragments and flakes. However, for economic reasons these NIR cameras are less suitable for more selective product monitoring. Discrete sensors and sensor systems, which are both very compact in design and inexpensive to purchase, are more appropriate for this purpose.</w:t>
      </w:r>
    </w:p>
    <w:p w14:paraId="34BA12EA" w14:textId="68E75DE3" w:rsidR="00FE0771" w:rsidRDefault="00FE0771" w:rsidP="00FE0771">
      <w:pPr>
        <w:rPr>
          <w:lang w:val="en-US"/>
        </w:rPr>
      </w:pPr>
      <w:r>
        <w:rPr>
          <w:noProof/>
          <w:lang w:val="en-US"/>
        </w:rPr>
        <w:drawing>
          <wp:anchor distT="0" distB="0" distL="114300" distR="114300" simplePos="0" relativeHeight="251660288" behindDoc="1" locked="0" layoutInCell="1" allowOverlap="1" wp14:anchorId="5E1721F4" wp14:editId="141E0D7F">
            <wp:simplePos x="0" y="0"/>
            <wp:positionH relativeFrom="margin">
              <wp:posOffset>4508500</wp:posOffset>
            </wp:positionH>
            <wp:positionV relativeFrom="paragraph">
              <wp:posOffset>937895</wp:posOffset>
            </wp:positionV>
            <wp:extent cx="1432560" cy="2018030"/>
            <wp:effectExtent l="0" t="0" r="0" b="1270"/>
            <wp:wrapTight wrapText="bothSides">
              <wp:wrapPolygon edited="0">
                <wp:start x="0" y="0"/>
                <wp:lineTo x="0" y="21410"/>
                <wp:lineTo x="21255" y="21410"/>
                <wp:lineTo x="21255" y="0"/>
                <wp:lineTo x="0" y="0"/>
              </wp:wrapPolygon>
            </wp:wrapTight>
            <wp:docPr id="164051444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32560" cy="2018030"/>
                    </a:xfrm>
                    <a:prstGeom prst="rect">
                      <a:avLst/>
                    </a:prstGeom>
                    <a:noFill/>
                  </pic:spPr>
                </pic:pic>
              </a:graphicData>
            </a:graphic>
          </wp:anchor>
        </w:drawing>
      </w:r>
      <w:r>
        <w:rPr>
          <w:noProof/>
          <w:lang w:val="en-US"/>
        </w:rPr>
        <w:drawing>
          <wp:anchor distT="0" distB="0" distL="114300" distR="114300" simplePos="0" relativeHeight="251659264" behindDoc="1" locked="0" layoutInCell="1" allowOverlap="1" wp14:anchorId="699712A5" wp14:editId="61DA310B">
            <wp:simplePos x="0" y="0"/>
            <wp:positionH relativeFrom="column">
              <wp:posOffset>2929255</wp:posOffset>
            </wp:positionH>
            <wp:positionV relativeFrom="paragraph">
              <wp:posOffset>937895</wp:posOffset>
            </wp:positionV>
            <wp:extent cx="1511935" cy="2018030"/>
            <wp:effectExtent l="0" t="0" r="0" b="1270"/>
            <wp:wrapTight wrapText="bothSides">
              <wp:wrapPolygon edited="0">
                <wp:start x="0" y="0"/>
                <wp:lineTo x="0" y="21410"/>
                <wp:lineTo x="21228" y="21410"/>
                <wp:lineTo x="21228" y="0"/>
                <wp:lineTo x="0" y="0"/>
              </wp:wrapPolygon>
            </wp:wrapTight>
            <wp:docPr id="105061312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11935" cy="2018030"/>
                    </a:xfrm>
                    <a:prstGeom prst="rect">
                      <a:avLst/>
                    </a:prstGeom>
                    <a:noFill/>
                  </pic:spPr>
                </pic:pic>
              </a:graphicData>
            </a:graphic>
          </wp:anchor>
        </w:drawing>
      </w:r>
      <w:r w:rsidRPr="00FE0771">
        <w:rPr>
          <w:lang w:val="en-US"/>
        </w:rPr>
        <w:t>In addition to stationary laboratory devices SPECTRO-T-3-0°/45°-LAB-LF and SPECTRO-T-3-DIF/0°-LAB-LF, mobile laboratory systems SPECTRO-T-3-0°/45°-MOBILE-P and SPECTRO-T-3-DIF/0°-MOBILE-P are also available. To avoid sending the measuring systems in for regular recalibration, on-site calibration has been integrated into the devices. In addition to the aluminum card for the white balance, additional plastic cards of different plastic types are available. Each of these cards has a 5-digit number on the label affixed to the respective plastic card and is also marked with the so-called N*</w:t>
      </w:r>
      <w:proofErr w:type="spellStart"/>
      <w:r w:rsidRPr="00FE0771">
        <w:rPr>
          <w:lang w:val="en-US"/>
        </w:rPr>
        <w:t>i</w:t>
      </w:r>
      <w:proofErr w:type="spellEnd"/>
      <w:r w:rsidRPr="00FE0771">
        <w:rPr>
          <w:lang w:val="en-US"/>
        </w:rPr>
        <w:t>*r* values. The data of the respective card is available on a sensor file on the Sensor Instruments homepage; this file can be downloaded from the homepage. During the interactive calibration process using the DOCAL Windows® software, the N*</w:t>
      </w:r>
      <w:proofErr w:type="spellStart"/>
      <w:r w:rsidRPr="00FE0771">
        <w:rPr>
          <w:lang w:val="en-US"/>
        </w:rPr>
        <w:t>i</w:t>
      </w:r>
      <w:proofErr w:type="spellEnd"/>
      <w:r w:rsidRPr="00FE0771">
        <w:rPr>
          <w:lang w:val="en-US"/>
        </w:rPr>
        <w:t>*r* value determined for the card can be retrieved from the file by entering the 5-digit number and recorded in the calibration table.</w:t>
      </w:r>
    </w:p>
    <w:p w14:paraId="395E94B1" w14:textId="7C7B2110" w:rsidR="00FE0771" w:rsidRDefault="00FE0771" w:rsidP="00FE0771">
      <w:pPr>
        <w:rPr>
          <w:lang w:val="en-US"/>
        </w:rPr>
      </w:pPr>
      <w:r>
        <w:rPr>
          <w:noProof/>
          <w:lang w:val="en-US"/>
        </w:rPr>
        <w:lastRenderedPageBreak/>
        <w:drawing>
          <wp:anchor distT="0" distB="0" distL="114300" distR="114300" simplePos="0" relativeHeight="251661312" behindDoc="1" locked="0" layoutInCell="1" allowOverlap="1" wp14:anchorId="1AF740D9" wp14:editId="3C57AB3C">
            <wp:simplePos x="0" y="0"/>
            <wp:positionH relativeFrom="margin">
              <wp:align>left</wp:align>
            </wp:positionH>
            <wp:positionV relativeFrom="paragraph">
              <wp:posOffset>5080</wp:posOffset>
            </wp:positionV>
            <wp:extent cx="2376000" cy="3168000"/>
            <wp:effectExtent l="0" t="0" r="5715" b="0"/>
            <wp:wrapTight wrapText="bothSides">
              <wp:wrapPolygon edited="0">
                <wp:start x="0" y="0"/>
                <wp:lineTo x="0" y="21435"/>
                <wp:lineTo x="21479" y="21435"/>
                <wp:lineTo x="21479" y="0"/>
                <wp:lineTo x="0" y="0"/>
              </wp:wrapPolygon>
            </wp:wrapTight>
            <wp:docPr id="49090566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76000" cy="3168000"/>
                    </a:xfrm>
                    <a:prstGeom prst="rect">
                      <a:avLst/>
                    </a:prstGeom>
                    <a:noFill/>
                  </pic:spPr>
                </pic:pic>
              </a:graphicData>
            </a:graphic>
            <wp14:sizeRelH relativeFrom="margin">
              <wp14:pctWidth>0</wp14:pctWidth>
            </wp14:sizeRelH>
            <wp14:sizeRelV relativeFrom="margin">
              <wp14:pctHeight>0</wp14:pctHeight>
            </wp14:sizeRelV>
          </wp:anchor>
        </w:drawing>
      </w:r>
      <w:r w:rsidRPr="00FE0771">
        <w:rPr>
          <w:lang w:val="en-US"/>
        </w:rPr>
        <w:t xml:space="preserve">The NIRTEM-100 inline measuring system, which can be positioned on the vibrating feeder immediately after extrusion and pelletizing of the </w:t>
      </w:r>
      <w:proofErr w:type="spellStart"/>
      <w:r w:rsidRPr="00FE0771">
        <w:rPr>
          <w:lang w:val="en-US"/>
        </w:rPr>
        <w:t>recyclate</w:t>
      </w:r>
      <w:proofErr w:type="spellEnd"/>
      <w:r w:rsidRPr="00FE0771">
        <w:rPr>
          <w:lang w:val="en-US"/>
        </w:rPr>
        <w:t xml:space="preserve">, is provided for continuous monitoring of the measurement data. The type of plastic in the </w:t>
      </w:r>
      <w:proofErr w:type="spellStart"/>
      <w:r w:rsidRPr="00FE0771">
        <w:rPr>
          <w:lang w:val="en-US"/>
        </w:rPr>
        <w:t>recyclate</w:t>
      </w:r>
      <w:proofErr w:type="spellEnd"/>
      <w:r w:rsidRPr="00FE0771">
        <w:rPr>
          <w:lang w:val="en-US"/>
        </w:rPr>
        <w:t xml:space="preserve"> is determined from a sensor distance of approx. 100mm. In addition, the temperature of the </w:t>
      </w:r>
      <w:proofErr w:type="spellStart"/>
      <w:r w:rsidRPr="00FE0771">
        <w:rPr>
          <w:lang w:val="en-US"/>
        </w:rPr>
        <w:t>recyclate</w:t>
      </w:r>
      <w:proofErr w:type="spellEnd"/>
      <w:r w:rsidRPr="00FE0771">
        <w:rPr>
          <w:lang w:val="en-US"/>
        </w:rPr>
        <w:t xml:space="preserve"> is determined and the integrated laser displacement sensor monitors the level of the </w:t>
      </w:r>
      <w:proofErr w:type="spellStart"/>
      <w:r w:rsidRPr="00FE0771">
        <w:rPr>
          <w:lang w:val="en-US"/>
        </w:rPr>
        <w:t>recyclate</w:t>
      </w:r>
      <w:proofErr w:type="spellEnd"/>
      <w:r w:rsidRPr="00FE0771">
        <w:rPr>
          <w:lang w:val="en-US"/>
        </w:rPr>
        <w:t xml:space="preserve"> flow. If the </w:t>
      </w:r>
      <w:proofErr w:type="spellStart"/>
      <w:r w:rsidRPr="00FE0771">
        <w:rPr>
          <w:lang w:val="en-US"/>
        </w:rPr>
        <w:t>recyclate</w:t>
      </w:r>
      <w:proofErr w:type="spellEnd"/>
      <w:r w:rsidRPr="00FE0771">
        <w:rPr>
          <w:lang w:val="en-US"/>
        </w:rPr>
        <w:t xml:space="preserve"> flow level is too high, this indicates that the screen is blocked and </w:t>
      </w:r>
      <w:proofErr w:type="spellStart"/>
      <w:r w:rsidRPr="00FE0771">
        <w:rPr>
          <w:lang w:val="en-US"/>
        </w:rPr>
        <w:t>recyclate</w:t>
      </w:r>
      <w:proofErr w:type="spellEnd"/>
      <w:r w:rsidRPr="00FE0771">
        <w:rPr>
          <w:lang w:val="en-US"/>
        </w:rPr>
        <w:t xml:space="preserve"> is unnecessarily entering the reject channel; if the </w:t>
      </w:r>
      <w:proofErr w:type="spellStart"/>
      <w:r w:rsidRPr="00FE0771">
        <w:rPr>
          <w:lang w:val="en-US"/>
        </w:rPr>
        <w:t>recyclate</w:t>
      </w:r>
      <w:proofErr w:type="spellEnd"/>
      <w:r w:rsidRPr="00FE0771">
        <w:rPr>
          <w:lang w:val="en-US"/>
        </w:rPr>
        <w:t xml:space="preserve"> flow level is too low, this indicates that the extrusion system is not providing enough material. After the </w:t>
      </w:r>
      <w:proofErr w:type="spellStart"/>
      <w:r w:rsidRPr="00FE0771">
        <w:rPr>
          <w:lang w:val="en-US"/>
        </w:rPr>
        <w:t>recyclate</w:t>
      </w:r>
      <w:proofErr w:type="spellEnd"/>
      <w:r w:rsidRPr="00FE0771">
        <w:rPr>
          <w:lang w:val="en-US"/>
        </w:rPr>
        <w:t xml:space="preserve"> material has been packed into big bags, for example, it is then sent on to the plastics processing plant.</w:t>
      </w:r>
      <w:r>
        <w:rPr>
          <w:lang w:val="en-US"/>
        </w:rPr>
        <w:t xml:space="preserve"> </w:t>
      </w:r>
      <w:r w:rsidRPr="00FE0771">
        <w:rPr>
          <w:lang w:val="en-US"/>
        </w:rPr>
        <w:t xml:space="preserve">There, the </w:t>
      </w:r>
      <w:proofErr w:type="spellStart"/>
      <w:r w:rsidRPr="00FE0771">
        <w:rPr>
          <w:lang w:val="en-US"/>
        </w:rPr>
        <w:t>recyclate</w:t>
      </w:r>
      <w:proofErr w:type="spellEnd"/>
      <w:r w:rsidRPr="00FE0771">
        <w:rPr>
          <w:lang w:val="en-US"/>
        </w:rPr>
        <w:t xml:space="preserve"> is first filled and stored in silos, then usually transported via pneumatic conveyor systems or screw conveyors for drying and then to the dosing units directly upstream of the extrusion or injection molding systems. If the recycled material is delivered in bags, on the other hand, the material is fed to the so-called material feeding stations.</w:t>
      </w:r>
    </w:p>
    <w:p w14:paraId="507FE60F" w14:textId="48DB5389" w:rsidR="00FE0771" w:rsidRDefault="00FE0771" w:rsidP="00FE0771">
      <w:pPr>
        <w:rPr>
          <w:lang w:val="en-US"/>
        </w:rPr>
      </w:pPr>
      <w:r>
        <w:rPr>
          <w:noProof/>
          <w:lang w:val="en-US"/>
        </w:rPr>
        <w:drawing>
          <wp:anchor distT="0" distB="0" distL="114300" distR="114300" simplePos="0" relativeHeight="251662336" behindDoc="1" locked="0" layoutInCell="1" allowOverlap="1" wp14:anchorId="1741C604" wp14:editId="0A50EE2C">
            <wp:simplePos x="0" y="0"/>
            <wp:positionH relativeFrom="margin">
              <wp:posOffset>3822700</wp:posOffset>
            </wp:positionH>
            <wp:positionV relativeFrom="paragraph">
              <wp:posOffset>15875</wp:posOffset>
            </wp:positionV>
            <wp:extent cx="2376000" cy="3175200"/>
            <wp:effectExtent l="0" t="0" r="5715" b="6350"/>
            <wp:wrapTight wrapText="bothSides">
              <wp:wrapPolygon edited="0">
                <wp:start x="0" y="0"/>
                <wp:lineTo x="0" y="21514"/>
                <wp:lineTo x="21479" y="21514"/>
                <wp:lineTo x="21479" y="0"/>
                <wp:lineTo x="0" y="0"/>
              </wp:wrapPolygon>
            </wp:wrapTight>
            <wp:docPr id="1446260687"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6000" cy="3175200"/>
                    </a:xfrm>
                    <a:prstGeom prst="rect">
                      <a:avLst/>
                    </a:prstGeom>
                    <a:noFill/>
                  </pic:spPr>
                </pic:pic>
              </a:graphicData>
            </a:graphic>
            <wp14:sizeRelH relativeFrom="margin">
              <wp14:pctWidth>0</wp14:pctWidth>
            </wp14:sizeRelH>
            <wp14:sizeRelV relativeFrom="margin">
              <wp14:pctHeight>0</wp14:pctHeight>
            </wp14:sizeRelV>
          </wp:anchor>
        </w:drawing>
      </w:r>
      <w:r w:rsidRPr="00FE0771">
        <w:rPr>
          <w:lang w:val="en-US"/>
        </w:rPr>
        <w:t xml:space="preserve">The steadily increasing use of </w:t>
      </w:r>
      <w:proofErr w:type="spellStart"/>
      <w:r w:rsidRPr="00FE0771">
        <w:rPr>
          <w:lang w:val="en-US"/>
        </w:rPr>
        <w:t>recyclates</w:t>
      </w:r>
      <w:proofErr w:type="spellEnd"/>
      <w:r w:rsidRPr="00FE0771">
        <w:rPr>
          <w:lang w:val="en-US"/>
        </w:rPr>
        <w:t xml:space="preserve"> for the manufacture of high-quality products increases the need for continuous incoming </w:t>
      </w:r>
      <w:proofErr w:type="spellStart"/>
      <w:r w:rsidRPr="00FE0771">
        <w:rPr>
          <w:lang w:val="en-US"/>
        </w:rPr>
        <w:t>recyclate</w:t>
      </w:r>
      <w:proofErr w:type="spellEnd"/>
      <w:r w:rsidRPr="00FE0771">
        <w:rPr>
          <w:lang w:val="en-US"/>
        </w:rPr>
        <w:t xml:space="preserve"> inspection, as a purely visual inspection of the material by the personnel makes sense in the case of possible color deviations of the </w:t>
      </w:r>
      <w:proofErr w:type="spellStart"/>
      <w:r w:rsidRPr="00FE0771">
        <w:rPr>
          <w:lang w:val="en-US"/>
        </w:rPr>
        <w:t>recyclate</w:t>
      </w:r>
      <w:proofErr w:type="spellEnd"/>
      <w:r w:rsidRPr="00FE0771">
        <w:rPr>
          <w:lang w:val="en-US"/>
        </w:rPr>
        <w:t xml:space="preserve">, this possibility of material inspection is ruled out in the case of differences in the type of plastic, as there do not necessarily have to be visual differences in the case of deviations. The first opportunity to do this is at the silo or material feed station. A sight glass attached to the silo or material feed unit and the SPECTRO-T-3-10-DIF-NIR/NIR sensor system are used to record and evaluate the measurement data. The measurement data is further processed via Ethernet or </w:t>
      </w:r>
      <w:proofErr w:type="spellStart"/>
      <w:r w:rsidRPr="00FE0771">
        <w:rPr>
          <w:lang w:val="en-US"/>
        </w:rPr>
        <w:t>Profinet</w:t>
      </w:r>
      <w:proofErr w:type="spellEnd"/>
      <w:r w:rsidRPr="00FE0771">
        <w:rPr>
          <w:lang w:val="en-US"/>
        </w:rPr>
        <w:t>® using PC or a PLC.</w:t>
      </w:r>
    </w:p>
    <w:p w14:paraId="1A63DD37" w14:textId="066B09BD" w:rsidR="00FE0771" w:rsidRDefault="00FE0771" w:rsidP="00FE0771">
      <w:pPr>
        <w:rPr>
          <w:lang w:val="en-US"/>
        </w:rPr>
      </w:pPr>
      <w:r w:rsidRPr="00FE0771">
        <w:rPr>
          <w:lang w:val="en-US"/>
        </w:rPr>
        <w:t>With the help of the DOCAL software, the measured values as well as the trends can be displayed both graphically and numerically, and the data can also be made available to the quality assurance department (QA) via Ethernet.</w:t>
      </w:r>
    </w:p>
    <w:p w14:paraId="53EE8D85" w14:textId="63532106" w:rsidR="00FE0771" w:rsidRPr="00FE0771" w:rsidRDefault="00FE0771" w:rsidP="00FE0771">
      <w:pPr>
        <w:rPr>
          <w:lang w:val="en-US"/>
        </w:rPr>
      </w:pPr>
      <w:r>
        <w:rPr>
          <w:noProof/>
          <w:lang w:val="en-US"/>
        </w:rPr>
        <w:lastRenderedPageBreak/>
        <w:drawing>
          <wp:inline distT="0" distB="0" distL="0" distR="0" wp14:anchorId="0B2B0C0B" wp14:editId="76A0DE4B">
            <wp:extent cx="5761355" cy="3237230"/>
            <wp:effectExtent l="0" t="0" r="0" b="1270"/>
            <wp:docPr id="136482120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1355" cy="3237230"/>
                    </a:xfrm>
                    <a:prstGeom prst="rect">
                      <a:avLst/>
                    </a:prstGeom>
                    <a:noFill/>
                  </pic:spPr>
                </pic:pic>
              </a:graphicData>
            </a:graphic>
          </wp:inline>
        </w:drawing>
      </w:r>
    </w:p>
    <w:p w14:paraId="516D90CB" w14:textId="77777777" w:rsidR="00FE0771" w:rsidRDefault="00FE0771" w:rsidP="00FE0771">
      <w:pPr>
        <w:rPr>
          <w:lang w:val="en-US"/>
        </w:rPr>
      </w:pPr>
    </w:p>
    <w:p w14:paraId="3AB47B02" w14:textId="384530CA" w:rsidR="007A4306" w:rsidRPr="007A4306" w:rsidRDefault="00FE0771" w:rsidP="00FE0771">
      <w:pPr>
        <w:rPr>
          <w:lang w:val="en-US"/>
        </w:rPr>
      </w:pPr>
      <w:r>
        <w:rPr>
          <w:noProof/>
        </w:rPr>
        <w:drawing>
          <wp:anchor distT="0" distB="0" distL="114300" distR="114300" simplePos="0" relativeHeight="251664384" behindDoc="1" locked="0" layoutInCell="1" allowOverlap="1" wp14:anchorId="2FEC7D93" wp14:editId="43385D8D">
            <wp:simplePos x="0" y="0"/>
            <wp:positionH relativeFrom="margin">
              <wp:align>right</wp:align>
            </wp:positionH>
            <wp:positionV relativeFrom="paragraph">
              <wp:posOffset>898525</wp:posOffset>
            </wp:positionV>
            <wp:extent cx="2637155" cy="1976755"/>
            <wp:effectExtent l="6350" t="0" r="0" b="0"/>
            <wp:wrapTight wrapText="bothSides">
              <wp:wrapPolygon edited="0">
                <wp:start x="52" y="21669"/>
                <wp:lineTo x="21428" y="21669"/>
                <wp:lineTo x="21428" y="229"/>
                <wp:lineTo x="52" y="229"/>
                <wp:lineTo x="52" y="21669"/>
              </wp:wrapPolygon>
            </wp:wrapTight>
            <wp:docPr id="1198873647" name="Grafik 12" descr="Ein Bild, das Maschine, Bautechnik, Im Haus, Platane Flugzeug Ho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873647" name="Grafik 12" descr="Ein Bild, das Maschine, Bautechnik, Im Haus, Platane Flugzeug Hobel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rot="5400000">
                      <a:off x="0" y="0"/>
                      <a:ext cx="2637155" cy="1976755"/>
                    </a:xfrm>
                    <a:prstGeom prst="rect">
                      <a:avLst/>
                    </a:prstGeom>
                  </pic:spPr>
                </pic:pic>
              </a:graphicData>
            </a:graphic>
            <wp14:sizeRelH relativeFrom="margin">
              <wp14:pctWidth>0</wp14:pctWidth>
            </wp14:sizeRelH>
            <wp14:sizeRelV relativeFrom="margin">
              <wp14:pctHeight>0</wp14:pctHeight>
            </wp14:sizeRelV>
          </wp:anchor>
        </w:drawing>
      </w:r>
      <w:r w:rsidRPr="00FE0771">
        <w:rPr>
          <w:lang w:val="en-US"/>
        </w:rPr>
        <w:t xml:space="preserve">If one of the three NIR values leaves the set tolerance limits, this is clearly displayed graphically in an orange frame. The data is also stored in a file to be specified by the operator. This file can also be accessed during data recording. Another way to check the quality of the </w:t>
      </w:r>
      <w:proofErr w:type="spellStart"/>
      <w:r w:rsidRPr="00FE0771">
        <w:rPr>
          <w:lang w:val="en-US"/>
        </w:rPr>
        <w:t>recyclate</w:t>
      </w:r>
      <w:proofErr w:type="spellEnd"/>
      <w:r w:rsidRPr="00FE0771">
        <w:rPr>
          <w:lang w:val="en-US"/>
        </w:rPr>
        <w:t xml:space="preserve"> is directly in front of the extruder or injection molding machine at the dosing unit. The type of plastic can also be checked there by attaching a sight glass and the corresponding NIR sensor. If the recycled material deviates too much from the reference values entered, the dosing unit can be used to intervene. If necessary, some virgin material can be added and recycled material can only be passed on to the downstream units in reduced quantities so that the tolerances </w:t>
      </w:r>
      <w:proofErr w:type="spellStart"/>
      <w:r w:rsidRPr="00FE0771">
        <w:rPr>
          <w:lang w:val="en-US"/>
        </w:rPr>
        <w:t>dN</w:t>
      </w:r>
      <w:proofErr w:type="spellEnd"/>
      <w:r w:rsidRPr="00FE0771">
        <w:rPr>
          <w:lang w:val="en-US"/>
        </w:rPr>
        <w:t xml:space="preserve">*, di* and </w:t>
      </w:r>
      <w:proofErr w:type="spellStart"/>
      <w:r w:rsidRPr="00FE0771">
        <w:rPr>
          <w:lang w:val="en-US"/>
        </w:rPr>
        <w:t>dr</w:t>
      </w:r>
      <w:proofErr w:type="spellEnd"/>
      <w:r w:rsidRPr="00FE0771">
        <w:rPr>
          <w:lang w:val="en-US"/>
        </w:rPr>
        <w:t>* can be maintained. In addition to the graphical display of the N*</w:t>
      </w:r>
      <w:proofErr w:type="spellStart"/>
      <w:r w:rsidRPr="00FE0771">
        <w:rPr>
          <w:lang w:val="en-US"/>
        </w:rPr>
        <w:t>i</w:t>
      </w:r>
      <w:proofErr w:type="spellEnd"/>
      <w:r w:rsidRPr="00FE0771">
        <w:rPr>
          <w:lang w:val="en-US"/>
        </w:rPr>
        <w:t xml:space="preserve">*r* measured values and their deviations </w:t>
      </w:r>
      <w:proofErr w:type="spellStart"/>
      <w:r w:rsidRPr="00FE0771">
        <w:rPr>
          <w:lang w:val="en-US"/>
        </w:rPr>
        <w:t>dN</w:t>
      </w:r>
      <w:proofErr w:type="spellEnd"/>
      <w:r w:rsidRPr="00FE0771">
        <w:rPr>
          <w:lang w:val="en-US"/>
        </w:rPr>
        <w:t xml:space="preserve">*, di* and </w:t>
      </w:r>
      <w:proofErr w:type="spellStart"/>
      <w:r w:rsidRPr="00FE0771">
        <w:rPr>
          <w:lang w:val="en-US"/>
        </w:rPr>
        <w:t>dr</w:t>
      </w:r>
      <w:proofErr w:type="spellEnd"/>
      <w:r w:rsidRPr="00FE0771">
        <w:rPr>
          <w:lang w:val="en-US"/>
        </w:rPr>
        <w:t>* from the entered reference, the DOCAL software can also be used to select the numerical display format.</w:t>
      </w:r>
    </w:p>
    <w:p w14:paraId="516F8075" w14:textId="130C96BD" w:rsidR="004F2F11" w:rsidRPr="009126D3" w:rsidRDefault="004F2F11" w:rsidP="004E4615">
      <w:pPr>
        <w:spacing w:line="276" w:lineRule="auto"/>
        <w:rPr>
          <w:lang w:val="en-US"/>
        </w:rPr>
      </w:pPr>
    </w:p>
    <w:p w14:paraId="72C5197D" w14:textId="77777777" w:rsidR="00121B9E" w:rsidRPr="009126D3" w:rsidRDefault="00121B9E" w:rsidP="004E4615">
      <w:pPr>
        <w:spacing w:line="276" w:lineRule="auto"/>
        <w:rPr>
          <w:lang w:val="en-US"/>
        </w:rPr>
      </w:pPr>
    </w:p>
    <w:p w14:paraId="738E9E2D" w14:textId="77777777" w:rsidR="00121B9E" w:rsidRPr="009126D3" w:rsidRDefault="00121B9E" w:rsidP="004E4615">
      <w:pPr>
        <w:spacing w:line="276" w:lineRule="auto"/>
        <w:rPr>
          <w:lang w:val="en-US"/>
        </w:rPr>
      </w:pPr>
    </w:p>
    <w:p w14:paraId="68A54FCB" w14:textId="71524EF8" w:rsidR="00595F28" w:rsidRPr="00D463A2" w:rsidRDefault="009126D3" w:rsidP="004E4615">
      <w:pPr>
        <w:spacing w:line="276" w:lineRule="auto"/>
        <w:rPr>
          <w:b/>
        </w:rPr>
      </w:pPr>
      <w:r w:rsidRPr="00D463A2">
        <w:rPr>
          <w:b/>
        </w:rPr>
        <w:t>C</w:t>
      </w:r>
      <w:r w:rsidR="00595F28" w:rsidRPr="00D463A2">
        <w:rPr>
          <w:b/>
        </w:rPr>
        <w:t>onta</w:t>
      </w:r>
      <w:r w:rsidRPr="00D463A2">
        <w:rPr>
          <w:b/>
        </w:rPr>
        <w:t>c</w:t>
      </w:r>
      <w:r w:rsidR="00595F28" w:rsidRPr="00D463A2">
        <w:rPr>
          <w:b/>
        </w:rPr>
        <w:t>t:</w:t>
      </w:r>
    </w:p>
    <w:p w14:paraId="61837551" w14:textId="06808084" w:rsidR="002F05F3" w:rsidRPr="00D463A2" w:rsidRDefault="009126D3" w:rsidP="009126D3">
      <w:pPr>
        <w:spacing w:line="276" w:lineRule="auto"/>
        <w:rPr>
          <w:rFonts w:ascii="Arial" w:hAnsi="Arial" w:cs="Arial"/>
        </w:rPr>
      </w:pPr>
      <w:r w:rsidRPr="00D463A2">
        <w:rPr>
          <w:rFonts w:ascii="Arial" w:eastAsia="Times New Roman" w:hAnsi="Arial" w:cs="Arial"/>
          <w:lang w:eastAsia="de-DE"/>
        </w:rPr>
        <w:t>Sensor Instruments</w:t>
      </w:r>
      <w:r w:rsidRPr="00D463A2">
        <w:rPr>
          <w:rFonts w:ascii="Arial" w:eastAsia="Times New Roman" w:hAnsi="Arial" w:cs="Arial"/>
          <w:lang w:eastAsia="de-DE"/>
        </w:rPr>
        <w:br/>
        <w:t>Entwicklungs- und Vertriebs GmbH</w:t>
      </w:r>
      <w:r w:rsidRPr="00D463A2">
        <w:rPr>
          <w:rFonts w:ascii="Arial" w:eastAsia="Times New Roman" w:hAnsi="Arial" w:cs="Arial"/>
          <w:lang w:eastAsia="de-DE"/>
        </w:rPr>
        <w:br/>
      </w:r>
      <w:proofErr w:type="spellStart"/>
      <w:r w:rsidRPr="00D463A2">
        <w:rPr>
          <w:rFonts w:ascii="Arial" w:eastAsia="Times New Roman" w:hAnsi="Arial" w:cs="Arial"/>
          <w:lang w:eastAsia="de-DE"/>
        </w:rPr>
        <w:t>Schlinding</w:t>
      </w:r>
      <w:proofErr w:type="spellEnd"/>
      <w:r w:rsidRPr="00D463A2">
        <w:rPr>
          <w:rFonts w:ascii="Arial" w:eastAsia="Times New Roman" w:hAnsi="Arial" w:cs="Arial"/>
          <w:lang w:eastAsia="de-DE"/>
        </w:rPr>
        <w:t xml:space="preserve"> 15</w:t>
      </w:r>
      <w:r w:rsidRPr="00D463A2">
        <w:rPr>
          <w:rFonts w:ascii="Arial" w:eastAsia="Times New Roman" w:hAnsi="Arial" w:cs="Arial"/>
          <w:lang w:eastAsia="de-DE"/>
        </w:rPr>
        <w:br/>
        <w:t>D-94169 Thurmansbang</w:t>
      </w:r>
      <w:r w:rsidRPr="00D463A2">
        <w:rPr>
          <w:rFonts w:ascii="Arial" w:eastAsia="Times New Roman" w:hAnsi="Arial" w:cs="Arial"/>
          <w:lang w:eastAsia="de-DE"/>
        </w:rPr>
        <w:br/>
      </w:r>
      <w:proofErr w:type="spellStart"/>
      <w:r w:rsidRPr="00D463A2">
        <w:rPr>
          <w:rFonts w:ascii="Arial" w:eastAsia="Times New Roman" w:hAnsi="Arial" w:cs="Arial"/>
          <w:lang w:eastAsia="de-DE"/>
        </w:rPr>
        <w:t>Telephone</w:t>
      </w:r>
      <w:proofErr w:type="spellEnd"/>
      <w:r w:rsidRPr="00D463A2">
        <w:rPr>
          <w:rFonts w:ascii="Arial" w:eastAsia="Times New Roman" w:hAnsi="Arial" w:cs="Arial"/>
          <w:lang w:eastAsia="de-DE"/>
        </w:rPr>
        <w:t xml:space="preserve"> +49 8544 9719-0</w:t>
      </w:r>
      <w:r w:rsidRPr="00D463A2">
        <w:rPr>
          <w:rFonts w:ascii="Arial" w:eastAsia="Times New Roman" w:hAnsi="Arial" w:cs="Arial"/>
          <w:lang w:eastAsia="de-DE"/>
        </w:rPr>
        <w:br/>
        <w:t>Fax +49 8544 9719-13</w:t>
      </w:r>
      <w:r w:rsidRPr="00D463A2">
        <w:rPr>
          <w:rFonts w:ascii="Arial" w:eastAsia="Times New Roman" w:hAnsi="Arial" w:cs="Arial"/>
          <w:lang w:eastAsia="de-DE"/>
        </w:rPr>
        <w:br/>
        <w:t>info@sensorinstruments.de</w:t>
      </w:r>
    </w:p>
    <w:sectPr w:rsidR="002F05F3" w:rsidRPr="00D463A2" w:rsidSect="00297089">
      <w:footerReference w:type="default" r:id="rId16"/>
      <w:pgSz w:w="11906" w:h="16838"/>
      <w:pgMar w:top="1417" w:right="1133" w:bottom="1276" w:left="1417" w:header="708" w:footer="62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D283E0" w14:textId="77777777" w:rsidR="00B8307B" w:rsidRDefault="00B8307B" w:rsidP="001532A0">
      <w:pPr>
        <w:spacing w:after="0" w:line="240" w:lineRule="auto"/>
      </w:pPr>
      <w:r>
        <w:separator/>
      </w:r>
    </w:p>
  </w:endnote>
  <w:endnote w:type="continuationSeparator" w:id="0">
    <w:p w14:paraId="30ADBD72" w14:textId="77777777" w:rsidR="00B8307B" w:rsidRDefault="00B8307B" w:rsidP="001532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FEF001" w14:textId="77777777" w:rsidR="00FA11C2" w:rsidRDefault="00FA11C2" w:rsidP="00015DA6">
    <w:pPr>
      <w:pStyle w:val="Fuzeile"/>
      <w:jc w:val="right"/>
      <w:rPr>
        <w:sz w:val="16"/>
        <w:szCs w:val="16"/>
      </w:rPr>
    </w:pPr>
  </w:p>
  <w:p w14:paraId="4A707412" w14:textId="2A651D6F" w:rsidR="001532A0" w:rsidRPr="00495A30" w:rsidRDefault="00202D15" w:rsidP="00015DA6">
    <w:pPr>
      <w:pStyle w:val="Fuzeile"/>
      <w:jc w:val="right"/>
      <w:rPr>
        <w:sz w:val="16"/>
        <w:szCs w:val="16"/>
        <w:lang w:val="en-US"/>
      </w:rPr>
    </w:pPr>
    <w:r>
      <w:rPr>
        <w:sz w:val="16"/>
        <w:szCs w:val="16"/>
      </w:rPr>
      <w:fldChar w:fldCharType="begin"/>
    </w:r>
    <w:r w:rsidRPr="00495A30">
      <w:rPr>
        <w:sz w:val="16"/>
        <w:szCs w:val="16"/>
        <w:lang w:val="en-US"/>
      </w:rPr>
      <w:instrText xml:space="preserve"> FILENAME   \* MERGEFORMAT </w:instrText>
    </w:r>
    <w:r>
      <w:rPr>
        <w:sz w:val="16"/>
        <w:szCs w:val="16"/>
      </w:rPr>
      <w:fldChar w:fldCharType="separate"/>
    </w:r>
    <w:r w:rsidR="00BA3A72">
      <w:rPr>
        <w:noProof/>
        <w:sz w:val="16"/>
        <w:szCs w:val="16"/>
        <w:lang w:val="en-US"/>
      </w:rPr>
      <w:t>EN_PI_2024-08-26_SI_Differentiation of recyclate types using NIR during the recycling process.docx</w:t>
    </w:r>
    <w:r>
      <w:rPr>
        <w:sz w:val="16"/>
        <w:szCs w:val="16"/>
      </w:rPr>
      <w:fldChar w:fldCharType="end"/>
    </w:r>
    <w:r w:rsidR="003D1945" w:rsidRPr="00495A30">
      <w:rPr>
        <w:sz w:val="16"/>
        <w:szCs w:val="16"/>
        <w:lang w:val="en-US"/>
      </w:rPr>
      <w:t xml:space="preserve"> </w:t>
    </w:r>
    <w:r w:rsidR="001532A0" w:rsidRPr="00E46C22">
      <w:rPr>
        <w:bCs/>
        <w:sz w:val="16"/>
        <w:szCs w:val="16"/>
        <w:lang w:val="en-US"/>
      </w:rPr>
      <w:fldChar w:fldCharType="begin"/>
    </w:r>
    <w:r w:rsidR="001532A0" w:rsidRPr="00495A30">
      <w:rPr>
        <w:bCs/>
        <w:sz w:val="16"/>
        <w:szCs w:val="16"/>
        <w:lang w:val="en-US"/>
      </w:rPr>
      <w:instrText>PAGE  \* Arabic  \* MERGEFORMAT</w:instrText>
    </w:r>
    <w:r w:rsidR="001532A0" w:rsidRPr="00E46C22">
      <w:rPr>
        <w:bCs/>
        <w:sz w:val="16"/>
        <w:szCs w:val="16"/>
        <w:lang w:val="en-US"/>
      </w:rPr>
      <w:fldChar w:fldCharType="separate"/>
    </w:r>
    <w:r w:rsidR="00A23E3A" w:rsidRPr="00495A30">
      <w:rPr>
        <w:bCs/>
        <w:noProof/>
        <w:sz w:val="16"/>
        <w:szCs w:val="16"/>
        <w:lang w:val="en-US"/>
      </w:rPr>
      <w:t>1</w:t>
    </w:r>
    <w:r w:rsidR="001532A0" w:rsidRPr="00E46C22">
      <w:rPr>
        <w:bCs/>
        <w:sz w:val="16"/>
        <w:szCs w:val="16"/>
        <w:lang w:val="en-US"/>
      </w:rPr>
      <w:fldChar w:fldCharType="end"/>
    </w:r>
    <w:r w:rsidR="001532A0" w:rsidRPr="00495A30">
      <w:rPr>
        <w:bCs/>
        <w:sz w:val="16"/>
        <w:szCs w:val="16"/>
        <w:lang w:val="en-US"/>
      </w:rPr>
      <w:t>/</w:t>
    </w:r>
    <w:r w:rsidR="001532A0" w:rsidRPr="00E46C22">
      <w:rPr>
        <w:bCs/>
        <w:sz w:val="16"/>
        <w:szCs w:val="16"/>
        <w:lang w:val="en-US"/>
      </w:rPr>
      <w:fldChar w:fldCharType="begin"/>
    </w:r>
    <w:r w:rsidR="001532A0" w:rsidRPr="00495A30">
      <w:rPr>
        <w:bCs/>
        <w:sz w:val="16"/>
        <w:szCs w:val="16"/>
        <w:lang w:val="en-US"/>
      </w:rPr>
      <w:instrText>NUMPAGES  \* Arabic  \* MERGEFORMAT</w:instrText>
    </w:r>
    <w:r w:rsidR="001532A0" w:rsidRPr="00E46C22">
      <w:rPr>
        <w:bCs/>
        <w:sz w:val="16"/>
        <w:szCs w:val="16"/>
        <w:lang w:val="en-US"/>
      </w:rPr>
      <w:fldChar w:fldCharType="separate"/>
    </w:r>
    <w:r w:rsidR="00A23E3A" w:rsidRPr="00495A30">
      <w:rPr>
        <w:bCs/>
        <w:noProof/>
        <w:sz w:val="16"/>
        <w:szCs w:val="16"/>
        <w:lang w:val="en-US"/>
      </w:rPr>
      <w:t>2</w:t>
    </w:r>
    <w:r w:rsidR="001532A0" w:rsidRPr="00E46C22">
      <w:rPr>
        <w:bCs/>
        <w:sz w:val="16"/>
        <w:szCs w:val="16"/>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8DD658" w14:textId="77777777" w:rsidR="00B8307B" w:rsidRDefault="00B8307B" w:rsidP="001532A0">
      <w:pPr>
        <w:spacing w:after="0" w:line="240" w:lineRule="auto"/>
      </w:pPr>
      <w:r>
        <w:separator/>
      </w:r>
    </w:p>
  </w:footnote>
  <w:footnote w:type="continuationSeparator" w:id="0">
    <w:p w14:paraId="2A66EF02" w14:textId="77777777" w:rsidR="00B8307B" w:rsidRDefault="00B8307B" w:rsidP="001532A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8A2815"/>
    <w:multiLevelType w:val="hybridMultilevel"/>
    <w:tmpl w:val="5602EFA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8ED6902"/>
    <w:multiLevelType w:val="hybridMultilevel"/>
    <w:tmpl w:val="8584A9DA"/>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3341126"/>
    <w:multiLevelType w:val="hybridMultilevel"/>
    <w:tmpl w:val="2FD8F50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01E0C2D"/>
    <w:multiLevelType w:val="hybridMultilevel"/>
    <w:tmpl w:val="7938BA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15777EF"/>
    <w:multiLevelType w:val="hybridMultilevel"/>
    <w:tmpl w:val="6F06AE8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469A37A4"/>
    <w:multiLevelType w:val="hybridMultilevel"/>
    <w:tmpl w:val="758887F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5352426E"/>
    <w:multiLevelType w:val="hybridMultilevel"/>
    <w:tmpl w:val="7A3E39B6"/>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7" w15:restartNumberingAfterBreak="0">
    <w:nsid w:val="6F903FA9"/>
    <w:multiLevelType w:val="hybridMultilevel"/>
    <w:tmpl w:val="230CCF9A"/>
    <w:lvl w:ilvl="0" w:tplc="CCD6C924">
      <w:start w:val="7"/>
      <w:numFmt w:val="bullet"/>
      <w:lvlText w:val="-"/>
      <w:lvlJc w:val="left"/>
      <w:pPr>
        <w:ind w:left="502" w:hanging="360"/>
      </w:pPr>
      <w:rPr>
        <w:rFonts w:ascii="Arial" w:eastAsia="Times New Roman" w:hAnsi="Arial" w:cs="Arial" w:hint="default"/>
      </w:rPr>
    </w:lvl>
    <w:lvl w:ilvl="1" w:tplc="04070003" w:tentative="1">
      <w:start w:val="1"/>
      <w:numFmt w:val="bullet"/>
      <w:lvlText w:val="o"/>
      <w:lvlJc w:val="left"/>
      <w:pPr>
        <w:ind w:left="1222" w:hanging="360"/>
      </w:pPr>
      <w:rPr>
        <w:rFonts w:ascii="Courier New" w:hAnsi="Courier New" w:cs="Courier New"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Courier New"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Courier New" w:hint="default"/>
      </w:rPr>
    </w:lvl>
    <w:lvl w:ilvl="8" w:tplc="04070005" w:tentative="1">
      <w:start w:val="1"/>
      <w:numFmt w:val="bullet"/>
      <w:lvlText w:val=""/>
      <w:lvlJc w:val="left"/>
      <w:pPr>
        <w:ind w:left="6262" w:hanging="360"/>
      </w:pPr>
      <w:rPr>
        <w:rFonts w:ascii="Wingdings" w:hAnsi="Wingdings" w:hint="default"/>
      </w:rPr>
    </w:lvl>
  </w:abstractNum>
  <w:abstractNum w:abstractNumId="8" w15:restartNumberingAfterBreak="0">
    <w:nsid w:val="73303AFF"/>
    <w:multiLevelType w:val="hybridMultilevel"/>
    <w:tmpl w:val="EBD4C970"/>
    <w:lvl w:ilvl="0" w:tplc="DAD6ED08">
      <w:start w:val="1"/>
      <w:numFmt w:val="lowerLetter"/>
      <w:lvlText w:val="(%1)"/>
      <w:lvlJc w:val="left"/>
      <w:pPr>
        <w:ind w:left="720" w:hanging="360"/>
      </w:pPr>
      <w:rPr>
        <w:rFonts w:ascii="Arial" w:hAnsi="Arial" w:hint="default"/>
        <w:sz w:val="20"/>
        <w:szCs w:val="1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233785262">
    <w:abstractNumId w:val="0"/>
  </w:num>
  <w:num w:numId="2" w16cid:durableId="1330137132">
    <w:abstractNumId w:val="8"/>
  </w:num>
  <w:num w:numId="3" w16cid:durableId="480000149">
    <w:abstractNumId w:val="5"/>
  </w:num>
  <w:num w:numId="4" w16cid:durableId="1831749789">
    <w:abstractNumId w:val="2"/>
  </w:num>
  <w:num w:numId="5" w16cid:durableId="958416280">
    <w:abstractNumId w:val="3"/>
  </w:num>
  <w:num w:numId="6" w16cid:durableId="378743307">
    <w:abstractNumId w:val="1"/>
  </w:num>
  <w:num w:numId="7" w16cid:durableId="1136725834">
    <w:abstractNumId w:val="6"/>
  </w:num>
  <w:num w:numId="8" w16cid:durableId="2089379065">
    <w:abstractNumId w:val="4"/>
  </w:num>
  <w:num w:numId="9" w16cid:durableId="164272790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1167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176A"/>
    <w:rsid w:val="00015DA6"/>
    <w:rsid w:val="0003634B"/>
    <w:rsid w:val="0005107E"/>
    <w:rsid w:val="00065AF0"/>
    <w:rsid w:val="000771EB"/>
    <w:rsid w:val="00083FA8"/>
    <w:rsid w:val="00087AAD"/>
    <w:rsid w:val="0009709C"/>
    <w:rsid w:val="000A509D"/>
    <w:rsid w:val="000B15E4"/>
    <w:rsid w:val="000C5369"/>
    <w:rsid w:val="000E0E39"/>
    <w:rsid w:val="000E26A2"/>
    <w:rsid w:val="000F016C"/>
    <w:rsid w:val="000F35CD"/>
    <w:rsid w:val="001029C6"/>
    <w:rsid w:val="001109A8"/>
    <w:rsid w:val="00112A31"/>
    <w:rsid w:val="00116618"/>
    <w:rsid w:val="00121B9E"/>
    <w:rsid w:val="001278B1"/>
    <w:rsid w:val="00141499"/>
    <w:rsid w:val="001532A0"/>
    <w:rsid w:val="00155E9B"/>
    <w:rsid w:val="00157ACA"/>
    <w:rsid w:val="00161274"/>
    <w:rsid w:val="00174A7F"/>
    <w:rsid w:val="00190F41"/>
    <w:rsid w:val="001A0A21"/>
    <w:rsid w:val="001A2B05"/>
    <w:rsid w:val="001A509A"/>
    <w:rsid w:val="001C703E"/>
    <w:rsid w:val="001D6BEF"/>
    <w:rsid w:val="00202D15"/>
    <w:rsid w:val="0021345B"/>
    <w:rsid w:val="0021703C"/>
    <w:rsid w:val="00220B43"/>
    <w:rsid w:val="00223C18"/>
    <w:rsid w:val="00226449"/>
    <w:rsid w:val="0023204E"/>
    <w:rsid w:val="002327AC"/>
    <w:rsid w:val="00267CF2"/>
    <w:rsid w:val="00274F5C"/>
    <w:rsid w:val="00275D11"/>
    <w:rsid w:val="0027766A"/>
    <w:rsid w:val="00297089"/>
    <w:rsid w:val="002A5DFF"/>
    <w:rsid w:val="002D03F6"/>
    <w:rsid w:val="002D1218"/>
    <w:rsid w:val="002F05F3"/>
    <w:rsid w:val="003165B9"/>
    <w:rsid w:val="0032462B"/>
    <w:rsid w:val="00346821"/>
    <w:rsid w:val="00372495"/>
    <w:rsid w:val="003B500A"/>
    <w:rsid w:val="003C13BB"/>
    <w:rsid w:val="003D1945"/>
    <w:rsid w:val="003E0A49"/>
    <w:rsid w:val="00415980"/>
    <w:rsid w:val="00421828"/>
    <w:rsid w:val="00424CBE"/>
    <w:rsid w:val="0042609E"/>
    <w:rsid w:val="004449DD"/>
    <w:rsid w:val="00446E2C"/>
    <w:rsid w:val="0045782D"/>
    <w:rsid w:val="00457CED"/>
    <w:rsid w:val="004652CF"/>
    <w:rsid w:val="00494A8C"/>
    <w:rsid w:val="00495A30"/>
    <w:rsid w:val="004963B7"/>
    <w:rsid w:val="004A6F99"/>
    <w:rsid w:val="004B20B6"/>
    <w:rsid w:val="004C0074"/>
    <w:rsid w:val="004D7C95"/>
    <w:rsid w:val="004E079C"/>
    <w:rsid w:val="004E4615"/>
    <w:rsid w:val="004F2F11"/>
    <w:rsid w:val="004F520E"/>
    <w:rsid w:val="004F7197"/>
    <w:rsid w:val="00502CAC"/>
    <w:rsid w:val="00506C54"/>
    <w:rsid w:val="00514FA2"/>
    <w:rsid w:val="00535150"/>
    <w:rsid w:val="005407C9"/>
    <w:rsid w:val="005532F6"/>
    <w:rsid w:val="0055438E"/>
    <w:rsid w:val="00561A97"/>
    <w:rsid w:val="00580539"/>
    <w:rsid w:val="00584CFF"/>
    <w:rsid w:val="00590893"/>
    <w:rsid w:val="00590898"/>
    <w:rsid w:val="00595F28"/>
    <w:rsid w:val="005A6BDD"/>
    <w:rsid w:val="005B0FFA"/>
    <w:rsid w:val="005F37FF"/>
    <w:rsid w:val="005F4835"/>
    <w:rsid w:val="005F4E55"/>
    <w:rsid w:val="005F6417"/>
    <w:rsid w:val="00625C1F"/>
    <w:rsid w:val="00635992"/>
    <w:rsid w:val="00650336"/>
    <w:rsid w:val="00652094"/>
    <w:rsid w:val="00657AC7"/>
    <w:rsid w:val="00660FF3"/>
    <w:rsid w:val="006632C6"/>
    <w:rsid w:val="006653E4"/>
    <w:rsid w:val="00671483"/>
    <w:rsid w:val="00672472"/>
    <w:rsid w:val="00672A2C"/>
    <w:rsid w:val="00674C2D"/>
    <w:rsid w:val="00682770"/>
    <w:rsid w:val="00686C21"/>
    <w:rsid w:val="006A6158"/>
    <w:rsid w:val="006B5983"/>
    <w:rsid w:val="006B7DAE"/>
    <w:rsid w:val="006C08EA"/>
    <w:rsid w:val="006C7021"/>
    <w:rsid w:val="006D7BA2"/>
    <w:rsid w:val="007234D8"/>
    <w:rsid w:val="00754DE6"/>
    <w:rsid w:val="00766489"/>
    <w:rsid w:val="007750EB"/>
    <w:rsid w:val="007762BC"/>
    <w:rsid w:val="007852B3"/>
    <w:rsid w:val="00794211"/>
    <w:rsid w:val="007A137F"/>
    <w:rsid w:val="007A3B4E"/>
    <w:rsid w:val="007A4306"/>
    <w:rsid w:val="007A65E8"/>
    <w:rsid w:val="007C414F"/>
    <w:rsid w:val="007D0EA5"/>
    <w:rsid w:val="007D1312"/>
    <w:rsid w:val="007D65EE"/>
    <w:rsid w:val="007E016E"/>
    <w:rsid w:val="007F0AF4"/>
    <w:rsid w:val="007F187D"/>
    <w:rsid w:val="007F30D3"/>
    <w:rsid w:val="007F5827"/>
    <w:rsid w:val="007F6194"/>
    <w:rsid w:val="008024F4"/>
    <w:rsid w:val="008171A6"/>
    <w:rsid w:val="00842857"/>
    <w:rsid w:val="00851AE9"/>
    <w:rsid w:val="00864FBD"/>
    <w:rsid w:val="00865DCD"/>
    <w:rsid w:val="00880C86"/>
    <w:rsid w:val="00897015"/>
    <w:rsid w:val="008A1608"/>
    <w:rsid w:val="008A6FE2"/>
    <w:rsid w:val="008B054F"/>
    <w:rsid w:val="008B69F1"/>
    <w:rsid w:val="008D5A7E"/>
    <w:rsid w:val="008E15EF"/>
    <w:rsid w:val="008E3230"/>
    <w:rsid w:val="0090182A"/>
    <w:rsid w:val="009126D3"/>
    <w:rsid w:val="00913361"/>
    <w:rsid w:val="00924816"/>
    <w:rsid w:val="00930E27"/>
    <w:rsid w:val="00931123"/>
    <w:rsid w:val="009850E0"/>
    <w:rsid w:val="00992625"/>
    <w:rsid w:val="00995B38"/>
    <w:rsid w:val="00996E16"/>
    <w:rsid w:val="009A2B09"/>
    <w:rsid w:val="009A5A5F"/>
    <w:rsid w:val="009B3E7C"/>
    <w:rsid w:val="009C0881"/>
    <w:rsid w:val="009E1923"/>
    <w:rsid w:val="009E3142"/>
    <w:rsid w:val="009E7691"/>
    <w:rsid w:val="00A238DF"/>
    <w:rsid w:val="00A23E3A"/>
    <w:rsid w:val="00A34E36"/>
    <w:rsid w:val="00A36B92"/>
    <w:rsid w:val="00A45304"/>
    <w:rsid w:val="00A5356E"/>
    <w:rsid w:val="00A5639E"/>
    <w:rsid w:val="00A8462C"/>
    <w:rsid w:val="00A84D30"/>
    <w:rsid w:val="00AA54CC"/>
    <w:rsid w:val="00AD359B"/>
    <w:rsid w:val="00AD4B12"/>
    <w:rsid w:val="00AD5EEC"/>
    <w:rsid w:val="00AE20A3"/>
    <w:rsid w:val="00B03E64"/>
    <w:rsid w:val="00B0585B"/>
    <w:rsid w:val="00B11A91"/>
    <w:rsid w:val="00B22F48"/>
    <w:rsid w:val="00B41AA5"/>
    <w:rsid w:val="00B578BB"/>
    <w:rsid w:val="00B80E7C"/>
    <w:rsid w:val="00B8307B"/>
    <w:rsid w:val="00B83824"/>
    <w:rsid w:val="00B85773"/>
    <w:rsid w:val="00B90CD1"/>
    <w:rsid w:val="00B916E8"/>
    <w:rsid w:val="00BA3A72"/>
    <w:rsid w:val="00BC4B38"/>
    <w:rsid w:val="00BE3791"/>
    <w:rsid w:val="00BF5292"/>
    <w:rsid w:val="00C076B7"/>
    <w:rsid w:val="00C12EAC"/>
    <w:rsid w:val="00C17A21"/>
    <w:rsid w:val="00C17C64"/>
    <w:rsid w:val="00C267DC"/>
    <w:rsid w:val="00C575DB"/>
    <w:rsid w:val="00C6176A"/>
    <w:rsid w:val="00C61C8D"/>
    <w:rsid w:val="00C71482"/>
    <w:rsid w:val="00C85DCD"/>
    <w:rsid w:val="00C87ED5"/>
    <w:rsid w:val="00CA22DC"/>
    <w:rsid w:val="00CA2DC8"/>
    <w:rsid w:val="00CB61DE"/>
    <w:rsid w:val="00CD79C8"/>
    <w:rsid w:val="00CE7B4C"/>
    <w:rsid w:val="00D12E9B"/>
    <w:rsid w:val="00D139AD"/>
    <w:rsid w:val="00D25104"/>
    <w:rsid w:val="00D25F41"/>
    <w:rsid w:val="00D43BD6"/>
    <w:rsid w:val="00D44CB4"/>
    <w:rsid w:val="00D463A2"/>
    <w:rsid w:val="00D470BF"/>
    <w:rsid w:val="00D55447"/>
    <w:rsid w:val="00D73FF6"/>
    <w:rsid w:val="00D74564"/>
    <w:rsid w:val="00D92430"/>
    <w:rsid w:val="00DA3B52"/>
    <w:rsid w:val="00DB1747"/>
    <w:rsid w:val="00DC64E6"/>
    <w:rsid w:val="00DC6584"/>
    <w:rsid w:val="00DD55D0"/>
    <w:rsid w:val="00DE2E45"/>
    <w:rsid w:val="00E0794B"/>
    <w:rsid w:val="00E133D0"/>
    <w:rsid w:val="00E33100"/>
    <w:rsid w:val="00E426A6"/>
    <w:rsid w:val="00E65F23"/>
    <w:rsid w:val="00E74EFC"/>
    <w:rsid w:val="00E80B9A"/>
    <w:rsid w:val="00E90C27"/>
    <w:rsid w:val="00E927B3"/>
    <w:rsid w:val="00EA3D9D"/>
    <w:rsid w:val="00EA54CE"/>
    <w:rsid w:val="00ED570B"/>
    <w:rsid w:val="00EE365E"/>
    <w:rsid w:val="00EE6DE0"/>
    <w:rsid w:val="00F064BB"/>
    <w:rsid w:val="00F07DD6"/>
    <w:rsid w:val="00F17E45"/>
    <w:rsid w:val="00F310CA"/>
    <w:rsid w:val="00F35845"/>
    <w:rsid w:val="00F46FC6"/>
    <w:rsid w:val="00F83413"/>
    <w:rsid w:val="00F8480F"/>
    <w:rsid w:val="00F93484"/>
    <w:rsid w:val="00FA11C2"/>
    <w:rsid w:val="00FA713B"/>
    <w:rsid w:val="00FA7221"/>
    <w:rsid w:val="00FB74D8"/>
    <w:rsid w:val="00FC7E65"/>
    <w:rsid w:val="00FD76D1"/>
    <w:rsid w:val="00FE0771"/>
    <w:rsid w:val="00FE70EC"/>
    <w:rsid w:val="00FF5E6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16737"/>
    <o:shapelayout v:ext="edit">
      <o:idmap v:ext="edit" data="1"/>
    </o:shapelayout>
  </w:shapeDefaults>
  <w:decimalSymbol w:val=","/>
  <w:listSeparator w:val=";"/>
  <w14:docId w14:val="4448254B"/>
  <w15:docId w15:val="{2CFF7D89-0D95-4DA6-A786-83DD9B8813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21B9E"/>
  </w:style>
  <w:style w:type="paragraph" w:styleId="berschrift2">
    <w:name w:val="heading 2"/>
    <w:basedOn w:val="Standard"/>
    <w:link w:val="berschrift2Zchn"/>
    <w:uiPriority w:val="9"/>
    <w:qFormat/>
    <w:rsid w:val="00595F28"/>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595F28"/>
    <w:rPr>
      <w:rFonts w:ascii="Times New Roman" w:eastAsia="Times New Roman" w:hAnsi="Times New Roman" w:cs="Times New Roman"/>
      <w:b/>
      <w:bCs/>
      <w:sz w:val="36"/>
      <w:szCs w:val="36"/>
      <w:lang w:eastAsia="de-DE"/>
    </w:rPr>
  </w:style>
  <w:style w:type="paragraph" w:styleId="Sprechblasentext">
    <w:name w:val="Balloon Text"/>
    <w:basedOn w:val="Standard"/>
    <w:link w:val="SprechblasentextZchn"/>
    <w:uiPriority w:val="99"/>
    <w:semiHidden/>
    <w:unhideWhenUsed/>
    <w:rsid w:val="00595F28"/>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95F28"/>
    <w:rPr>
      <w:rFonts w:ascii="Segoe UI" w:hAnsi="Segoe UI" w:cs="Segoe UI"/>
      <w:sz w:val="18"/>
      <w:szCs w:val="18"/>
    </w:rPr>
  </w:style>
  <w:style w:type="paragraph" w:styleId="Kopfzeile">
    <w:name w:val="header"/>
    <w:basedOn w:val="Standard"/>
    <w:link w:val="KopfzeileZchn"/>
    <w:uiPriority w:val="99"/>
    <w:unhideWhenUsed/>
    <w:rsid w:val="001532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532A0"/>
  </w:style>
  <w:style w:type="paragraph" w:styleId="Fuzeile">
    <w:name w:val="footer"/>
    <w:basedOn w:val="Standard"/>
    <w:link w:val="FuzeileZchn"/>
    <w:uiPriority w:val="99"/>
    <w:unhideWhenUsed/>
    <w:rsid w:val="001532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532A0"/>
  </w:style>
  <w:style w:type="character" w:styleId="Fett">
    <w:name w:val="Strong"/>
    <w:basedOn w:val="Absatz-Standardschriftart"/>
    <w:uiPriority w:val="22"/>
    <w:qFormat/>
    <w:rsid w:val="00E90C27"/>
    <w:rPr>
      <w:b/>
      <w:bCs/>
    </w:rPr>
  </w:style>
  <w:style w:type="character" w:customStyle="1" w:styleId="Nachrichtenkopfbeschriftung">
    <w:name w:val="Nachrichtenkopfbeschriftung"/>
    <w:rsid w:val="00EE365E"/>
    <w:rPr>
      <w:rFonts w:ascii="Arial Black" w:hAnsi="Arial Black"/>
      <w:spacing w:val="-10"/>
      <w:sz w:val="18"/>
    </w:rPr>
  </w:style>
  <w:style w:type="character" w:styleId="Hyperlink">
    <w:name w:val="Hyperlink"/>
    <w:rsid w:val="00EE365E"/>
    <w:rPr>
      <w:color w:val="0000FF"/>
      <w:u w:val="single"/>
      <w:lang w:val="de-DE"/>
    </w:rPr>
  </w:style>
  <w:style w:type="paragraph" w:styleId="StandardWeb">
    <w:name w:val="Normal (Web)"/>
    <w:basedOn w:val="Standard"/>
    <w:uiPriority w:val="99"/>
    <w:rsid w:val="00EE365E"/>
    <w:pPr>
      <w:spacing w:after="120" w:line="280" w:lineRule="atLeast"/>
      <w:jc w:val="both"/>
    </w:pPr>
    <w:rPr>
      <w:rFonts w:ascii="Times New Roman" w:eastAsia="Times New Roman" w:hAnsi="Times New Roman" w:cs="Times New Roman"/>
      <w:spacing w:val="-5"/>
      <w:sz w:val="24"/>
      <w:szCs w:val="24"/>
    </w:rPr>
  </w:style>
  <w:style w:type="table" w:styleId="Tabellenraster">
    <w:name w:val="Table Grid"/>
    <w:basedOn w:val="NormaleTabelle"/>
    <w:rsid w:val="00EE365E"/>
    <w:pPr>
      <w:spacing w:after="0" w:line="240" w:lineRule="auto"/>
      <w:ind w:left="835" w:right="835"/>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EE365E"/>
    <w:pPr>
      <w:spacing w:after="120" w:line="280" w:lineRule="atLeast"/>
      <w:ind w:left="720"/>
      <w:contextualSpacing/>
      <w:jc w:val="both"/>
    </w:pPr>
    <w:rPr>
      <w:rFonts w:ascii="Arial" w:eastAsia="Times New Roman" w:hAnsi="Arial" w:cs="Times New Roman"/>
      <w:spacing w:val="-5"/>
      <w:sz w:val="20"/>
      <w:szCs w:val="20"/>
    </w:rPr>
  </w:style>
  <w:style w:type="character" w:styleId="NichtaufgelsteErwhnung">
    <w:name w:val="Unresolved Mention"/>
    <w:basedOn w:val="Absatz-Standardschriftart"/>
    <w:uiPriority w:val="99"/>
    <w:semiHidden/>
    <w:unhideWhenUsed/>
    <w:rsid w:val="00087AAD"/>
    <w:rPr>
      <w:color w:val="605E5C"/>
      <w:shd w:val="clear" w:color="auto" w:fill="E1DFDD"/>
    </w:rPr>
  </w:style>
  <w:style w:type="character" w:styleId="BesuchterLink">
    <w:name w:val="FollowedHyperlink"/>
    <w:basedOn w:val="Absatz-Standardschriftart"/>
    <w:uiPriority w:val="99"/>
    <w:semiHidden/>
    <w:unhideWhenUsed/>
    <w:rsid w:val="001029C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10079959">
      <w:bodyDiv w:val="1"/>
      <w:marLeft w:val="0"/>
      <w:marRight w:val="0"/>
      <w:marTop w:val="0"/>
      <w:marBottom w:val="0"/>
      <w:divBdr>
        <w:top w:val="none" w:sz="0" w:space="0" w:color="auto"/>
        <w:left w:val="none" w:sz="0" w:space="0" w:color="auto"/>
        <w:bottom w:val="none" w:sz="0" w:space="0" w:color="auto"/>
        <w:right w:val="none" w:sz="0" w:space="0" w:color="auto"/>
      </w:divBdr>
      <w:divsChild>
        <w:div w:id="421687499">
          <w:marLeft w:val="0"/>
          <w:marRight w:val="0"/>
          <w:marTop w:val="0"/>
          <w:marBottom w:val="0"/>
          <w:divBdr>
            <w:top w:val="none" w:sz="0" w:space="0" w:color="auto"/>
            <w:left w:val="none" w:sz="0" w:space="0" w:color="auto"/>
            <w:bottom w:val="none" w:sz="0" w:space="0" w:color="auto"/>
            <w:right w:val="none" w:sz="0" w:space="0" w:color="auto"/>
          </w:divBdr>
          <w:divsChild>
            <w:div w:id="950553408">
              <w:marLeft w:val="0"/>
              <w:marRight w:val="0"/>
              <w:marTop w:val="0"/>
              <w:marBottom w:val="0"/>
              <w:divBdr>
                <w:top w:val="none" w:sz="0" w:space="0" w:color="auto"/>
                <w:left w:val="none" w:sz="0" w:space="0" w:color="auto"/>
                <w:bottom w:val="none" w:sz="0" w:space="0" w:color="auto"/>
                <w:right w:val="none" w:sz="0" w:space="0" w:color="auto"/>
              </w:divBdr>
            </w:div>
            <w:div w:id="113984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911188">
      <w:bodyDiv w:val="1"/>
      <w:marLeft w:val="0"/>
      <w:marRight w:val="0"/>
      <w:marTop w:val="0"/>
      <w:marBottom w:val="0"/>
      <w:divBdr>
        <w:top w:val="none" w:sz="0" w:space="0" w:color="auto"/>
        <w:left w:val="none" w:sz="0" w:space="0" w:color="auto"/>
        <w:bottom w:val="none" w:sz="0" w:space="0" w:color="auto"/>
        <w:right w:val="none" w:sz="0" w:space="0" w:color="auto"/>
      </w:divBdr>
      <w:divsChild>
        <w:div w:id="27644781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8F59A5-82A0-4854-A453-3CCDC5E550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759</Words>
  <Characters>4786</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dc:creator>
  <cp:lastModifiedBy>Helga Braumandl</cp:lastModifiedBy>
  <cp:revision>22</cp:revision>
  <cp:lastPrinted>2024-09-09T21:36:00Z</cp:lastPrinted>
  <dcterms:created xsi:type="dcterms:W3CDTF">2024-08-26T21:08:00Z</dcterms:created>
  <dcterms:modified xsi:type="dcterms:W3CDTF">2024-09-09T21:36:00Z</dcterms:modified>
</cp:coreProperties>
</file>